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E3" w:rsidRPr="00D170E3" w:rsidRDefault="00D170E3" w:rsidP="00D170E3">
      <w:pPr>
        <w:widowControl/>
        <w:spacing w:before="100" w:beforeAutospacing="1" w:after="100" w:afterAutospacing="1" w:line="540" w:lineRule="exact"/>
        <w:jc w:val="center"/>
        <w:rPr>
          <w:rFonts w:ascii="宋体" w:eastAsia="宋体" w:hAnsi="宋体" w:cs="宋体"/>
          <w:color w:val="333333"/>
          <w:kern w:val="0"/>
          <w:sz w:val="24"/>
          <w:szCs w:val="24"/>
        </w:rPr>
      </w:pPr>
      <w:r w:rsidRPr="00D170E3">
        <w:rPr>
          <w:rFonts w:ascii="黑体" w:eastAsia="黑体" w:hAnsi="宋体" w:cs="宋体" w:hint="eastAsia"/>
          <w:bCs/>
          <w:color w:val="333333"/>
          <w:spacing w:val="-5"/>
          <w:kern w:val="0"/>
          <w:sz w:val="36"/>
          <w:szCs w:val="36"/>
        </w:rPr>
        <w:t>厦门大学校级奖学金(研究生)评审实施细则</w:t>
      </w:r>
    </w:p>
    <w:p w:rsidR="00D170E3" w:rsidRPr="00D170E3" w:rsidRDefault="00D170E3" w:rsidP="00D170E3">
      <w:pPr>
        <w:widowControl/>
        <w:spacing w:before="100" w:beforeAutospacing="1" w:after="100" w:afterAutospacing="1" w:line="540" w:lineRule="exact"/>
        <w:jc w:val="center"/>
        <w:rPr>
          <w:rFonts w:ascii="宋体" w:eastAsia="宋体" w:hAnsi="宋体" w:cs="宋体"/>
          <w:color w:val="333333"/>
          <w:kern w:val="0"/>
          <w:sz w:val="24"/>
          <w:szCs w:val="24"/>
        </w:rPr>
      </w:pPr>
      <w:r w:rsidRPr="00D170E3">
        <w:rPr>
          <w:rFonts w:ascii="黑体" w:eastAsia="黑体" w:hAnsi="宋体" w:cs="宋体" w:hint="eastAsia"/>
          <w:bCs/>
          <w:color w:val="FF0000"/>
          <w:spacing w:val="-5"/>
          <w:kern w:val="0"/>
          <w:sz w:val="36"/>
          <w:szCs w:val="36"/>
        </w:rPr>
        <w:t>（材料学院2013年修订版）</w:t>
      </w:r>
    </w:p>
    <w:p w:rsidR="00D170E3" w:rsidRPr="00D170E3" w:rsidRDefault="00D170E3" w:rsidP="00D170E3">
      <w:pPr>
        <w:widowControl/>
        <w:spacing w:before="100" w:beforeAutospacing="1" w:after="100" w:afterAutospacing="1" w:line="540" w:lineRule="exact"/>
        <w:jc w:val="center"/>
        <w:rPr>
          <w:rFonts w:ascii="宋体" w:eastAsia="宋体" w:hAnsi="宋体" w:cs="宋体"/>
          <w:color w:val="333333"/>
          <w:kern w:val="0"/>
          <w:sz w:val="24"/>
          <w:szCs w:val="24"/>
        </w:rPr>
      </w:pPr>
      <w:r w:rsidRPr="00D170E3">
        <w:rPr>
          <w:rFonts w:ascii="楷体_GB2312" w:eastAsia="楷体_GB2312" w:hAnsi="宋体" w:cs="宋体" w:hint="eastAsia"/>
          <w:b/>
          <w:color w:val="000000"/>
          <w:kern w:val="0"/>
          <w:sz w:val="36"/>
        </w:rPr>
        <w:t> </w:t>
      </w:r>
    </w:p>
    <w:p w:rsidR="00D170E3" w:rsidRPr="00D170E3" w:rsidRDefault="00D170E3" w:rsidP="00D170E3">
      <w:pPr>
        <w:widowControl/>
        <w:spacing w:before="100" w:beforeAutospacing="1" w:after="100" w:afterAutospacing="1" w:line="540" w:lineRule="exact"/>
        <w:jc w:val="left"/>
        <w:rPr>
          <w:rFonts w:ascii="Tahoma" w:eastAsia="宋体" w:hAnsi="Tahoma" w:cs="Tahoma"/>
          <w:color w:val="333333"/>
          <w:kern w:val="0"/>
          <w:szCs w:val="21"/>
        </w:rPr>
      </w:pPr>
      <w:r w:rsidRPr="00D170E3">
        <w:rPr>
          <w:rFonts w:ascii="黑体" w:eastAsia="黑体" w:hAnsi="Tahoma" w:cs="Tahoma" w:hint="eastAsia"/>
          <w:color w:val="333333"/>
          <w:kern w:val="0"/>
          <w:sz w:val="30"/>
          <w:szCs w:val="30"/>
        </w:rPr>
        <w:t>一、基本条件</w:t>
      </w:r>
    </w:p>
    <w:p w:rsidR="00D170E3" w:rsidRPr="008D2601" w:rsidRDefault="00D170E3" w:rsidP="008D2601">
      <w:pPr>
        <w:widowControl/>
        <w:adjustRightInd w:val="0"/>
        <w:spacing w:before="100" w:beforeAutospacing="1" w:after="100" w:afterAutospacing="1" w:line="54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厦门大学研究生校级奖学金旨在激励研究生刻苦学习、奋发向上、勇于创新，创造适合研究生进行科学研究的良好环境，提高研究生培养质量。为了规范校级奖学金研究生的申报、评审工作，特制定本办法。</w:t>
      </w:r>
    </w:p>
    <w:p w:rsidR="00D170E3" w:rsidRPr="00D170E3" w:rsidRDefault="00D170E3" w:rsidP="00D170E3">
      <w:pPr>
        <w:widowControl/>
        <w:adjustRightInd w:val="0"/>
        <w:spacing w:before="100" w:beforeAutospacing="1" w:after="100" w:afterAutospacing="1" w:line="54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1、凡取得正式学籍、已注册的全日制厦门大学研究生均可参评，在职研究生不参加本奖评选。</w:t>
      </w:r>
    </w:p>
    <w:p w:rsidR="00D170E3" w:rsidRPr="00D170E3" w:rsidRDefault="00D170E3" w:rsidP="00D170E3">
      <w:pPr>
        <w:widowControl/>
        <w:adjustRightInd w:val="0"/>
        <w:spacing w:before="100" w:beforeAutospacing="1" w:after="100" w:afterAutospacing="1" w:line="54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2、爱国爱校，品行端正，具有团队合作精神，遵守国家法律法规及校规校纪，无违法违纪行为。</w:t>
      </w:r>
    </w:p>
    <w:p w:rsidR="00D170E3" w:rsidRPr="00D170E3" w:rsidRDefault="00D170E3" w:rsidP="00D170E3">
      <w:pPr>
        <w:widowControl/>
        <w:adjustRightInd w:val="0"/>
        <w:spacing w:before="100" w:beforeAutospacing="1" w:after="100" w:afterAutospacing="1" w:line="54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3、诚实守信，道德品质优良，德育考核良好。</w:t>
      </w:r>
    </w:p>
    <w:p w:rsidR="00D170E3" w:rsidRPr="00D170E3" w:rsidRDefault="00D170E3" w:rsidP="00D170E3">
      <w:pPr>
        <w:widowControl/>
        <w:adjustRightInd w:val="0"/>
        <w:spacing w:before="100" w:beforeAutospacing="1" w:after="100" w:afterAutospacing="1" w:line="54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4、学习勤奋刻苦，课程成绩优良，无不合格课程。</w:t>
      </w:r>
    </w:p>
    <w:p w:rsidR="00D170E3" w:rsidRPr="00D170E3" w:rsidRDefault="00D170E3" w:rsidP="00D170E3">
      <w:pPr>
        <w:widowControl/>
        <w:adjustRightInd w:val="0"/>
        <w:spacing w:before="100" w:beforeAutospacing="1" w:after="100" w:afterAutospacing="1" w:line="54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5、科研成果突出，创新能力显著。</w:t>
      </w:r>
    </w:p>
    <w:p w:rsidR="00D170E3" w:rsidRPr="00D170E3" w:rsidRDefault="00D170E3" w:rsidP="00D170E3">
      <w:pPr>
        <w:widowControl/>
        <w:adjustRightInd w:val="0"/>
        <w:spacing w:before="100" w:beforeAutospacing="1" w:after="100" w:afterAutospacing="1" w:line="540" w:lineRule="exact"/>
        <w:ind w:firstLineChars="196" w:firstLine="588"/>
        <w:jc w:val="left"/>
        <w:rPr>
          <w:rFonts w:ascii="宋体" w:eastAsia="宋体" w:hAnsi="宋体" w:cs="宋体"/>
          <w:color w:val="333333"/>
          <w:kern w:val="0"/>
          <w:sz w:val="24"/>
          <w:szCs w:val="24"/>
        </w:rPr>
      </w:pPr>
      <w:r w:rsidRPr="00D170E3">
        <w:rPr>
          <w:rFonts w:ascii="黑体" w:eastAsia="黑体" w:hAnsi="宋体" w:cs="宋体" w:hint="eastAsia"/>
          <w:color w:val="333333"/>
          <w:kern w:val="0"/>
          <w:sz w:val="30"/>
          <w:szCs w:val="30"/>
        </w:rPr>
        <w:t>二、具体评定条件</w:t>
      </w:r>
    </w:p>
    <w:p w:rsidR="00D170E3" w:rsidRPr="00D170E3" w:rsidRDefault="00D170E3" w:rsidP="00D170E3">
      <w:pPr>
        <w:widowControl/>
        <w:adjustRightInd w:val="0"/>
        <w:spacing w:before="100" w:beforeAutospacing="1" w:after="100" w:afterAutospacing="1" w:line="540" w:lineRule="exact"/>
        <w:ind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研究生校级奖学金评审坚持突出创新、保证质量、统筹兼顾、公平的原则。申请者需要符合以下条件：</w:t>
      </w:r>
    </w:p>
    <w:p w:rsidR="00D170E3" w:rsidRPr="00D170E3" w:rsidRDefault="00D170E3" w:rsidP="00D170E3">
      <w:pPr>
        <w:widowControl/>
        <w:adjustRightInd w:val="0"/>
        <w:spacing w:before="100" w:beforeAutospacing="1" w:after="100" w:afterAutospacing="1" w:line="540" w:lineRule="exact"/>
        <w:ind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lastRenderedPageBreak/>
        <w:t>（一）申请文庆、本栋、亚南奖学金者，在学期间必须具有可视为第一署名的高水平科研成果（以下四项满足一项即可）：</w:t>
      </w:r>
    </w:p>
    <w:p w:rsidR="00D170E3" w:rsidRPr="00D170E3" w:rsidRDefault="00D170E3" w:rsidP="00D170E3">
      <w:pPr>
        <w:widowControl/>
        <w:adjustRightInd w:val="0"/>
        <w:spacing w:before="100" w:beforeAutospacing="1" w:after="100" w:afterAutospacing="1" w:line="540" w:lineRule="exact"/>
        <w:ind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1、人文与社科类发表一类核心论文及以上（核心刊物认定以人事处核心刊物目录为准）、理工类在JCR1区刊物以上发表论文。无任何科研成果的不参评校级奖学金。</w:t>
      </w:r>
    </w:p>
    <w:p w:rsidR="00D170E3" w:rsidRPr="00D170E3" w:rsidRDefault="00D170E3" w:rsidP="00D170E3">
      <w:pPr>
        <w:widowControl/>
        <w:adjustRightInd w:val="0"/>
        <w:spacing w:before="100" w:beforeAutospacing="1" w:after="100" w:afterAutospacing="1" w:line="540" w:lineRule="exact"/>
        <w:ind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2、文科类出版高水平学术专著、理工类获得发明专利。</w:t>
      </w:r>
    </w:p>
    <w:p w:rsidR="00D170E3" w:rsidRPr="00D170E3" w:rsidRDefault="00D170E3" w:rsidP="00D170E3">
      <w:pPr>
        <w:widowControl/>
        <w:adjustRightInd w:val="0"/>
        <w:spacing w:before="100" w:beforeAutospacing="1" w:after="100" w:afterAutospacing="1" w:line="540" w:lineRule="exact"/>
        <w:ind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3、获得省部级以上科研成果奖励（以上证书加盖国徽章为准），有特殊情况者报校学生评奖委员会决定。</w:t>
      </w:r>
    </w:p>
    <w:p w:rsidR="00D170E3" w:rsidRPr="00D170E3" w:rsidRDefault="00D170E3" w:rsidP="00D170E3">
      <w:pPr>
        <w:widowControl/>
        <w:adjustRightInd w:val="0"/>
        <w:spacing w:before="100" w:beforeAutospacing="1" w:after="100" w:afterAutospacing="1" w:line="540" w:lineRule="exact"/>
        <w:ind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4、其他被校评奖委员会认定的突出贡献。</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（二）参评其它校级奖学金的研究生，须在本学科领域高水平学术期刊上发表论文、获得专利、发表专著、获得高水平科研奖励或有其它被学院评奖委员会认定的具有学术价值或应用价值的突出科研成果。</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（三）文庆、本栋、亚南奖学金候选名单由各学院（研究院）推荐。各学院（研究院）需详细列出候选学生在校的综合表现（包含导师评语和推荐意见等）。</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（四）文庆、本栋、亚南奖学金实行差额评定，凡已获得文庆、本栋、亚南奖学金的研究生，原则上不再参评这几项奖学金。</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lastRenderedPageBreak/>
        <w:t>（五）同一学年内，不得参评同一级别校级奖学金；不同学年参评同一级别校级奖学金，科研成果不得重复使用。</w:t>
      </w:r>
    </w:p>
    <w:p w:rsidR="00D170E3" w:rsidRPr="00D170E3" w:rsidRDefault="00D170E3" w:rsidP="00D170E3">
      <w:pPr>
        <w:widowControl/>
        <w:spacing w:before="100" w:beforeAutospacing="1" w:after="100" w:afterAutospacing="1" w:line="560" w:lineRule="exact"/>
        <w:ind w:firstLineChars="247" w:firstLine="744"/>
        <w:jc w:val="left"/>
        <w:rPr>
          <w:rFonts w:ascii="宋体" w:eastAsia="宋体" w:hAnsi="宋体" w:cs="宋体"/>
          <w:color w:val="333333"/>
          <w:kern w:val="0"/>
          <w:sz w:val="24"/>
          <w:szCs w:val="24"/>
        </w:rPr>
      </w:pPr>
      <w:r w:rsidRPr="00D170E3">
        <w:rPr>
          <w:rFonts w:ascii="黑体" w:eastAsia="黑体" w:hAnsi="宋体" w:cs="宋体" w:hint="eastAsia"/>
          <w:b/>
          <w:color w:val="333333"/>
          <w:kern w:val="0"/>
          <w:sz w:val="30"/>
        </w:rPr>
        <w:t>三、其他条件</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（一）综合能力表现突出。科研成果同等条件下，在社会实践、志愿服务、体育竞赛、文艺比赛等方面表现突出者，可优先获得校级奖学金：</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1、积极投身社会主义精神文明建设，能够将见义勇为、助人为乐、奉献爱心的精神付诸于实际行动，有助于树立良好的社会风尚。</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2、积极参加社会实践活动，能对社会作出一定程度的贡献；或组织、策划校内外重大社会活动，产生一定的社会影响。</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3、积极参加校内外志愿服务工作，展示出良好的志愿服务精神。</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4、在各类文艺比赛或体育竞赛中取得成绩，荣誉突出。</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（二）因参与优博培育工程、国家公派出国留学项目和学校公派访学交流项目而延期毕业的研究生在相应延长的学习期限内可参加校级奖学金评选。</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lastRenderedPageBreak/>
        <w:t>（三）全日制专业学位研究生参加评选校级奖学金的名额由学校从总名额中单列,并由研究生院按照人数比例下达给各学院。学院参照本办法组织评选工作。</w:t>
      </w:r>
    </w:p>
    <w:p w:rsidR="00D170E3" w:rsidRPr="00D170E3" w:rsidRDefault="00D170E3" w:rsidP="00D170E3">
      <w:pPr>
        <w:widowControl/>
        <w:spacing w:before="100" w:beforeAutospacing="1" w:after="100" w:afterAutospacing="1" w:line="560" w:lineRule="exact"/>
        <w:ind w:firstLineChars="247" w:firstLine="744"/>
        <w:jc w:val="left"/>
        <w:rPr>
          <w:rFonts w:ascii="宋体" w:eastAsia="宋体" w:hAnsi="宋体" w:cs="宋体"/>
          <w:color w:val="333333"/>
          <w:kern w:val="0"/>
          <w:sz w:val="24"/>
          <w:szCs w:val="24"/>
        </w:rPr>
      </w:pPr>
      <w:r w:rsidRPr="00D170E3">
        <w:rPr>
          <w:rFonts w:ascii="黑体" w:eastAsia="黑体" w:hAnsi="宋体" w:cs="宋体" w:hint="eastAsia"/>
          <w:b/>
          <w:color w:val="333333"/>
          <w:kern w:val="0"/>
          <w:sz w:val="30"/>
        </w:rPr>
        <w:t>四、评分方法：</w:t>
      </w:r>
    </w:p>
    <w:p w:rsidR="00D170E3" w:rsidRPr="00D170E3" w:rsidRDefault="00D170E3" w:rsidP="00D170E3">
      <w:pPr>
        <w:widowControl/>
        <w:spacing w:before="100" w:beforeAutospacing="1" w:after="100" w:afterAutospacing="1" w:line="560" w:lineRule="exact"/>
        <w:ind w:firstLineChars="247" w:firstLine="741"/>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总分由课程成绩分、科研成果分两部分组成。</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1、课程成绩分（一、二年级申请者满分为40分，三年级申请者满分为30分）。</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计算公式为：</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 xml:space="preserve">    课程成绩分={∑（百分排位* 学分）/总学分}*P</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其中百分排位是指研究生以课程班级为单位，在所修读课程班级中的成绩排名分。分值为100至0，所学课程班级第一名的百分排位为100，最后一名为0。该百分排位的分值在任课教师或研究生秘书把全班成绩输入研究生院的学籍管理系统后，由系统自动生成。一、二年级申请者课程成绩的P值为0.40、三年级申请者课程成绩的P值为0.30。</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2、科研成果分</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申请评奖的所有科研成果必须已正式发表，第一署名单位都必须是厦门大学。有DOI号并且在网上发表的科研论文可作为科研成果进行申报。论文摘要、会议综述、活动报道、无正式CN号论文、未授权的发明专利和实用新型专利等不得列入科</w:t>
      </w:r>
      <w:r w:rsidRPr="00D170E3">
        <w:rPr>
          <w:rFonts w:ascii="仿宋_GB2312" w:eastAsia="仿宋_GB2312" w:hAnsi="宋体" w:cs="宋体" w:hint="eastAsia"/>
          <w:color w:val="333333"/>
          <w:kern w:val="0"/>
          <w:sz w:val="30"/>
          <w:szCs w:val="30"/>
        </w:rPr>
        <w:lastRenderedPageBreak/>
        <w:t>研成果进行申报。只有在研究生院学生系统中计分的科研成果才能申报校级奖学金。</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（1）科研论文计分方法</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①论文分数=∑（权重因子*合作因子），包括评奖期间发表的各类科研论文。</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②权重因子计算方法</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人文、社科类论文权重因子的数值为：SSCI、A&amp;HCI收录论文每篇120，一类核心刊物每篇60，二类核心刊物每篇20。一类、二类核心学术刊物的认定参见厦门大学人事处《厦门大学核心学术刊物目录》及相关规定。</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理工类论文权重因子的数值为：依据“JCR期刊影响因子和分区情况”表（参见研究生院网站），在1区刊物发表论文的，每篇权重因子为160；在2区发表的，每篇为80；在3区发表的，每篇为40；在4区发表的，每篇为20。</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在交叉学科或跨学科学术刊物上发表的论文，可以按照所发表学术刊物的学科属性计分。若交叉学科刊物同时具有文理两种计分方式且出现差异的，按高分计算。</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被SCI、EI、ISTP和ISSHP、JCR收录，但尚未列入JCR分区的学术论文，每篇权重因子为20分。</w:t>
      </w:r>
    </w:p>
    <w:p w:rsidR="00D170E3" w:rsidRDefault="00D170E3" w:rsidP="00D170E3">
      <w:pPr>
        <w:widowControl/>
        <w:spacing w:before="100" w:beforeAutospacing="1" w:after="100" w:afterAutospacing="1" w:line="560" w:lineRule="exact"/>
        <w:ind w:firstLineChars="200" w:firstLine="600"/>
        <w:jc w:val="left"/>
        <w:rPr>
          <w:rFonts w:ascii="仿宋_GB2312" w:eastAsia="仿宋_GB2312" w:hAnsi="宋体" w:cs="宋体"/>
          <w:color w:val="333333"/>
          <w:kern w:val="0"/>
          <w:sz w:val="30"/>
          <w:szCs w:val="30"/>
        </w:rPr>
      </w:pPr>
      <w:r w:rsidRPr="00D170E3">
        <w:rPr>
          <w:rFonts w:ascii="仿宋_GB2312" w:eastAsia="仿宋_GB2312" w:hAnsi="宋体" w:cs="宋体" w:hint="eastAsia"/>
          <w:color w:val="333333"/>
          <w:kern w:val="0"/>
          <w:sz w:val="30"/>
          <w:szCs w:val="30"/>
        </w:rPr>
        <w:lastRenderedPageBreak/>
        <w:t>未被上述刊物收录的一般论文权重因子为0，不得填入成果申报栏，但可填入备注栏或另加页。</w:t>
      </w:r>
    </w:p>
    <w:p w:rsidR="00C76853" w:rsidRDefault="00C76853" w:rsidP="00C76853">
      <w:pPr>
        <w:widowControl/>
        <w:spacing w:before="100" w:beforeAutospacing="1" w:after="100" w:afterAutospacing="1" w:line="560" w:lineRule="exact"/>
        <w:ind w:firstLineChars="200" w:firstLine="600"/>
        <w:jc w:val="left"/>
        <w:rPr>
          <w:rFonts w:ascii="仿宋_GB2312" w:eastAsia="仿宋_GB2312" w:hAnsi="宋体" w:cs="宋体" w:hint="eastAsia"/>
          <w:color w:val="333333"/>
          <w:kern w:val="0"/>
          <w:sz w:val="30"/>
          <w:szCs w:val="30"/>
        </w:rPr>
      </w:pPr>
      <w:r w:rsidRPr="00D170E3">
        <w:rPr>
          <w:rFonts w:ascii="仿宋_GB2312" w:eastAsia="仿宋_GB2312" w:hAnsi="宋体" w:cs="宋体" w:hint="eastAsia"/>
          <w:color w:val="333333"/>
          <w:kern w:val="0"/>
          <w:sz w:val="30"/>
          <w:szCs w:val="30"/>
        </w:rPr>
        <w:t>③</w:t>
      </w:r>
      <w:r>
        <w:rPr>
          <w:rFonts w:ascii="仿宋_GB2312" w:eastAsia="仿宋_GB2312" w:hAnsi="宋体" w:cs="宋体" w:hint="eastAsia"/>
          <w:color w:val="333333"/>
          <w:kern w:val="0"/>
          <w:sz w:val="30"/>
          <w:szCs w:val="30"/>
        </w:rPr>
        <w:t>科研</w:t>
      </w:r>
      <w:r>
        <w:rPr>
          <w:rFonts w:ascii="仿宋_GB2312" w:eastAsia="仿宋_GB2312" w:hAnsi="宋体" w:cs="宋体"/>
          <w:color w:val="333333"/>
          <w:kern w:val="0"/>
          <w:sz w:val="30"/>
          <w:szCs w:val="30"/>
        </w:rPr>
        <w:t>论文中，每篇论文积分如下</w:t>
      </w:r>
    </w:p>
    <w:tbl>
      <w:tblPr>
        <w:tblStyle w:val="a9"/>
        <w:tblW w:w="0" w:type="auto"/>
        <w:tblLook w:val="04A0" w:firstRow="1" w:lastRow="0" w:firstColumn="1" w:lastColumn="0" w:noHBand="0" w:noVBand="1"/>
      </w:tblPr>
      <w:tblGrid>
        <w:gridCol w:w="2830"/>
        <w:gridCol w:w="2700"/>
        <w:gridCol w:w="2766"/>
      </w:tblGrid>
      <w:tr w:rsidR="00C76853" w:rsidRPr="00C76853" w:rsidTr="00BC2779">
        <w:tc>
          <w:tcPr>
            <w:tcW w:w="283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p>
        </w:tc>
        <w:tc>
          <w:tcPr>
            <w:tcW w:w="270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第一作者分值</w:t>
            </w:r>
          </w:p>
        </w:tc>
        <w:tc>
          <w:tcPr>
            <w:tcW w:w="2766"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第二作者分值</w:t>
            </w:r>
          </w:p>
        </w:tc>
      </w:tr>
      <w:tr w:rsidR="00C76853" w:rsidRPr="00C76853" w:rsidTr="00BC2779">
        <w:tc>
          <w:tcPr>
            <w:tcW w:w="283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一区（共</w:t>
            </w:r>
            <w:r w:rsidRPr="00C76853">
              <w:rPr>
                <w:rFonts w:ascii="仿宋_GB2312" w:eastAsia="仿宋_GB2312" w:hAnsi="宋体" w:cs="宋体"/>
                <w:color w:val="333333"/>
                <w:kern w:val="0"/>
                <w:sz w:val="30"/>
                <w:szCs w:val="30"/>
              </w:rPr>
              <w:t>160</w:t>
            </w:r>
            <w:r w:rsidRPr="00C76853">
              <w:rPr>
                <w:rFonts w:ascii="仿宋_GB2312" w:eastAsia="仿宋_GB2312" w:hAnsi="宋体" w:cs="宋体" w:hint="eastAsia"/>
                <w:color w:val="333333"/>
                <w:kern w:val="0"/>
                <w:sz w:val="30"/>
                <w:szCs w:val="30"/>
              </w:rPr>
              <w:t>分）</w:t>
            </w:r>
          </w:p>
        </w:tc>
        <w:tc>
          <w:tcPr>
            <w:tcW w:w="270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1</w:t>
            </w:r>
            <w:r w:rsidRPr="00C76853">
              <w:rPr>
                <w:rFonts w:ascii="仿宋_GB2312" w:eastAsia="仿宋_GB2312" w:hAnsi="宋体" w:cs="宋体"/>
                <w:color w:val="333333"/>
                <w:kern w:val="0"/>
                <w:sz w:val="30"/>
                <w:szCs w:val="30"/>
              </w:rPr>
              <w:t>20</w:t>
            </w:r>
          </w:p>
        </w:tc>
        <w:tc>
          <w:tcPr>
            <w:tcW w:w="2766"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40</w:t>
            </w:r>
          </w:p>
        </w:tc>
      </w:tr>
      <w:tr w:rsidR="00C76853" w:rsidRPr="00C76853" w:rsidTr="00BC2779">
        <w:tc>
          <w:tcPr>
            <w:tcW w:w="283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二区（共</w:t>
            </w:r>
            <w:r w:rsidRPr="00C76853">
              <w:rPr>
                <w:rFonts w:ascii="仿宋_GB2312" w:eastAsia="仿宋_GB2312" w:hAnsi="宋体" w:cs="宋体"/>
                <w:color w:val="333333"/>
                <w:kern w:val="0"/>
                <w:sz w:val="30"/>
                <w:szCs w:val="30"/>
              </w:rPr>
              <w:t>80</w:t>
            </w:r>
            <w:r w:rsidRPr="00C76853">
              <w:rPr>
                <w:rFonts w:ascii="仿宋_GB2312" w:eastAsia="仿宋_GB2312" w:hAnsi="宋体" w:cs="宋体" w:hint="eastAsia"/>
                <w:color w:val="333333"/>
                <w:kern w:val="0"/>
                <w:sz w:val="30"/>
                <w:szCs w:val="30"/>
              </w:rPr>
              <w:t>分）</w:t>
            </w:r>
          </w:p>
        </w:tc>
        <w:tc>
          <w:tcPr>
            <w:tcW w:w="270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60</w:t>
            </w:r>
          </w:p>
        </w:tc>
        <w:tc>
          <w:tcPr>
            <w:tcW w:w="2766"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20</w:t>
            </w:r>
          </w:p>
        </w:tc>
      </w:tr>
      <w:tr w:rsidR="00C76853" w:rsidRPr="00C76853" w:rsidTr="00BC2779">
        <w:tc>
          <w:tcPr>
            <w:tcW w:w="283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三区（共</w:t>
            </w:r>
            <w:r w:rsidRPr="00C76853">
              <w:rPr>
                <w:rFonts w:ascii="仿宋_GB2312" w:eastAsia="仿宋_GB2312" w:hAnsi="宋体" w:cs="宋体"/>
                <w:color w:val="333333"/>
                <w:kern w:val="0"/>
                <w:sz w:val="30"/>
                <w:szCs w:val="30"/>
              </w:rPr>
              <w:t>40</w:t>
            </w:r>
            <w:r w:rsidRPr="00C76853">
              <w:rPr>
                <w:rFonts w:ascii="仿宋_GB2312" w:eastAsia="仿宋_GB2312" w:hAnsi="宋体" w:cs="宋体" w:hint="eastAsia"/>
                <w:color w:val="333333"/>
                <w:kern w:val="0"/>
                <w:sz w:val="30"/>
                <w:szCs w:val="30"/>
              </w:rPr>
              <w:t>分）</w:t>
            </w:r>
          </w:p>
        </w:tc>
        <w:tc>
          <w:tcPr>
            <w:tcW w:w="270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3</w:t>
            </w:r>
            <w:r w:rsidRPr="00C76853">
              <w:rPr>
                <w:rFonts w:ascii="仿宋_GB2312" w:eastAsia="仿宋_GB2312" w:hAnsi="宋体" w:cs="宋体"/>
                <w:color w:val="333333"/>
                <w:kern w:val="0"/>
                <w:sz w:val="30"/>
                <w:szCs w:val="30"/>
              </w:rPr>
              <w:t>0</w:t>
            </w:r>
          </w:p>
        </w:tc>
        <w:tc>
          <w:tcPr>
            <w:tcW w:w="2766"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10</w:t>
            </w:r>
          </w:p>
        </w:tc>
      </w:tr>
      <w:tr w:rsidR="00C76853" w:rsidRPr="00C76853" w:rsidTr="00BC2779">
        <w:tc>
          <w:tcPr>
            <w:tcW w:w="283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四区（共</w:t>
            </w:r>
            <w:r w:rsidRPr="00C76853">
              <w:rPr>
                <w:rFonts w:ascii="仿宋_GB2312" w:eastAsia="仿宋_GB2312" w:hAnsi="宋体" w:cs="宋体"/>
                <w:color w:val="333333"/>
                <w:kern w:val="0"/>
                <w:sz w:val="30"/>
                <w:szCs w:val="30"/>
              </w:rPr>
              <w:t>20</w:t>
            </w:r>
            <w:r w:rsidRPr="00C76853">
              <w:rPr>
                <w:rFonts w:ascii="仿宋_GB2312" w:eastAsia="仿宋_GB2312" w:hAnsi="宋体" w:cs="宋体" w:hint="eastAsia"/>
                <w:color w:val="333333"/>
                <w:kern w:val="0"/>
                <w:sz w:val="30"/>
                <w:szCs w:val="30"/>
              </w:rPr>
              <w:t>分）</w:t>
            </w:r>
          </w:p>
        </w:tc>
        <w:tc>
          <w:tcPr>
            <w:tcW w:w="2700"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15</w:t>
            </w:r>
          </w:p>
        </w:tc>
        <w:tc>
          <w:tcPr>
            <w:tcW w:w="2766" w:type="dxa"/>
          </w:tcPr>
          <w:p w:rsidR="00C76853" w:rsidRPr="00C76853" w:rsidRDefault="00C76853" w:rsidP="00BC2779">
            <w:pPr>
              <w:widowControl/>
              <w:spacing w:before="100" w:beforeAutospacing="1" w:after="100" w:afterAutospacing="1" w:line="560" w:lineRule="exact"/>
              <w:jc w:val="center"/>
              <w:rPr>
                <w:rFonts w:ascii="仿宋_GB2312" w:eastAsia="仿宋_GB2312" w:hAnsi="宋体" w:cs="宋体" w:hint="eastAsia"/>
                <w:color w:val="333333"/>
                <w:kern w:val="0"/>
                <w:sz w:val="30"/>
                <w:szCs w:val="30"/>
              </w:rPr>
            </w:pPr>
            <w:r w:rsidRPr="00C76853">
              <w:rPr>
                <w:rFonts w:ascii="仿宋_GB2312" w:eastAsia="仿宋_GB2312" w:hAnsi="宋体" w:cs="宋体" w:hint="eastAsia"/>
                <w:color w:val="333333"/>
                <w:kern w:val="0"/>
                <w:sz w:val="30"/>
                <w:szCs w:val="30"/>
              </w:rPr>
              <w:t>5</w:t>
            </w:r>
          </w:p>
        </w:tc>
      </w:tr>
    </w:tbl>
    <w:p w:rsidR="00D170E3" w:rsidRPr="00D170E3" w:rsidRDefault="00C76853" w:rsidP="00D170E3">
      <w:pPr>
        <w:widowControl/>
        <w:spacing w:before="100" w:beforeAutospacing="1" w:after="100" w:afterAutospacing="1" w:line="560" w:lineRule="exact"/>
        <w:ind w:firstLineChars="200" w:firstLine="600"/>
        <w:jc w:val="left"/>
        <w:rPr>
          <w:rFonts w:ascii="宋体" w:eastAsia="宋体" w:hAnsi="宋体" w:cs="宋体" w:hint="eastAsia"/>
          <w:color w:val="333333"/>
          <w:kern w:val="0"/>
          <w:sz w:val="24"/>
          <w:szCs w:val="24"/>
        </w:rPr>
      </w:pPr>
      <w:r>
        <w:rPr>
          <w:rFonts w:ascii="仿宋_GB2312" w:eastAsia="仿宋_GB2312" w:hAnsi="宋体" w:cs="宋体" w:hint="eastAsia"/>
          <w:color w:val="333333"/>
          <w:kern w:val="0"/>
          <w:sz w:val="30"/>
          <w:szCs w:val="30"/>
        </w:rPr>
        <w:t>④</w:t>
      </w:r>
      <w:r w:rsidR="00D170E3" w:rsidRPr="00D170E3">
        <w:rPr>
          <w:rFonts w:ascii="仿宋_GB2312" w:eastAsia="仿宋_GB2312" w:hAnsi="宋体" w:cs="宋体" w:hint="eastAsia"/>
          <w:color w:val="333333"/>
          <w:kern w:val="0"/>
          <w:sz w:val="30"/>
          <w:szCs w:val="30"/>
        </w:rPr>
        <w:t>合作因子数值计算方法为：</w:t>
      </w:r>
      <w:bookmarkStart w:id="0" w:name="_GoBack"/>
      <w:bookmarkEnd w:id="0"/>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按论文署名分摊记分，若导师或经认定的导师组成员在署名中排第一位，则署名第二的研究生可视为第一作者，计分时应将原为第一作者的导师或导师组成员以第二作者计入作者总人数。</w:t>
      </w:r>
    </w:p>
    <w:p w:rsidR="00C76853" w:rsidRDefault="00D170E3" w:rsidP="00D170E3">
      <w:pPr>
        <w:widowControl/>
        <w:spacing w:before="100" w:beforeAutospacing="1" w:after="100" w:afterAutospacing="1" w:line="560" w:lineRule="exact"/>
        <w:ind w:firstLineChars="200" w:firstLine="600"/>
        <w:jc w:val="left"/>
        <w:rPr>
          <w:rFonts w:ascii="仿宋_GB2312" w:eastAsia="仿宋_GB2312" w:hAnsi="宋体" w:cs="宋体" w:hint="eastAsia"/>
          <w:color w:val="333333"/>
          <w:kern w:val="0"/>
          <w:sz w:val="30"/>
          <w:szCs w:val="30"/>
        </w:rPr>
      </w:pPr>
      <w:r w:rsidRPr="00D170E3">
        <w:rPr>
          <w:rFonts w:ascii="仿宋_GB2312" w:eastAsia="仿宋_GB2312" w:hAnsi="宋体" w:cs="宋体" w:hint="eastAsia"/>
          <w:color w:val="333333"/>
          <w:kern w:val="0"/>
          <w:sz w:val="30"/>
          <w:szCs w:val="30"/>
        </w:rPr>
        <w:t>二人合作的，</w:t>
      </w:r>
      <w:r w:rsidR="00C76853">
        <w:rPr>
          <w:rFonts w:ascii="仿宋_GB2312" w:eastAsia="仿宋_GB2312" w:hAnsi="宋体" w:cs="宋体" w:hint="eastAsia"/>
          <w:color w:val="333333"/>
          <w:kern w:val="0"/>
          <w:sz w:val="30"/>
          <w:szCs w:val="30"/>
        </w:rPr>
        <w:t>按6:</w:t>
      </w:r>
      <w:r w:rsidR="00C76853">
        <w:rPr>
          <w:rFonts w:ascii="仿宋_GB2312" w:eastAsia="仿宋_GB2312" w:hAnsi="宋体" w:cs="宋体"/>
          <w:color w:val="333333"/>
          <w:kern w:val="0"/>
          <w:sz w:val="30"/>
          <w:szCs w:val="30"/>
        </w:rPr>
        <w:t>4</w:t>
      </w:r>
      <w:r w:rsidR="00C76853">
        <w:rPr>
          <w:rFonts w:ascii="仿宋_GB2312" w:eastAsia="仿宋_GB2312" w:hAnsi="宋体" w:cs="宋体" w:hint="eastAsia"/>
          <w:color w:val="333333"/>
          <w:kern w:val="0"/>
          <w:sz w:val="30"/>
          <w:szCs w:val="30"/>
        </w:rPr>
        <w:t>分摊</w:t>
      </w:r>
      <w:r w:rsidR="00C76853">
        <w:rPr>
          <w:rFonts w:ascii="仿宋_GB2312" w:eastAsia="仿宋_GB2312" w:hAnsi="宋体" w:cs="宋体"/>
          <w:color w:val="333333"/>
          <w:kern w:val="0"/>
          <w:sz w:val="30"/>
          <w:szCs w:val="30"/>
        </w:rPr>
        <w:t>：</w:t>
      </w:r>
    </w:p>
    <w:p w:rsidR="00D170E3" w:rsidRPr="00D170E3" w:rsidRDefault="00D170E3" w:rsidP="00C7685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三人以上合作的，按以下公式进行计算：</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当i≤N-2时  ai=0.5</w:t>
      </w:r>
      <w:r w:rsidRPr="00D170E3">
        <w:rPr>
          <w:rFonts w:ascii="仿宋_GB2312" w:eastAsia="仿宋_GB2312" w:hAnsi="宋体" w:cs="宋体" w:hint="eastAsia"/>
          <w:color w:val="333333"/>
          <w:kern w:val="0"/>
          <w:sz w:val="30"/>
          <w:szCs w:val="30"/>
          <w:vertAlign w:val="superscript"/>
        </w:rPr>
        <w:t>i</w:t>
      </w:r>
      <w:r w:rsidRPr="00D170E3">
        <w:rPr>
          <w:rFonts w:ascii="仿宋_GB2312" w:eastAsia="仿宋_GB2312" w:hAnsi="宋体" w:cs="宋体" w:hint="eastAsia"/>
          <w:color w:val="333333"/>
          <w:kern w:val="0"/>
          <w:sz w:val="30"/>
          <w:szCs w:val="30"/>
        </w:rPr>
        <w:t>；</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当i=N-1时   ai=0.5</w:t>
      </w:r>
      <w:r w:rsidRPr="00D170E3">
        <w:rPr>
          <w:rFonts w:ascii="仿宋_GB2312" w:eastAsia="仿宋_GB2312" w:hAnsi="宋体" w:cs="宋体" w:hint="eastAsia"/>
          <w:color w:val="333333"/>
          <w:kern w:val="0"/>
          <w:sz w:val="30"/>
          <w:szCs w:val="30"/>
          <w:vertAlign w:val="superscript"/>
        </w:rPr>
        <w:t>N-3</w:t>
      </w:r>
      <w:r w:rsidRPr="00D170E3">
        <w:rPr>
          <w:rFonts w:ascii="仿宋_GB2312" w:eastAsia="仿宋_GB2312" w:hAnsi="宋体" w:cs="宋体" w:hint="eastAsia"/>
          <w:color w:val="333333"/>
          <w:kern w:val="0"/>
          <w:sz w:val="30"/>
          <w:szCs w:val="30"/>
        </w:rPr>
        <w:t>×0.3；</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当i=N时     ai=0.5</w:t>
      </w:r>
      <w:r w:rsidRPr="00D170E3">
        <w:rPr>
          <w:rFonts w:ascii="仿宋_GB2312" w:eastAsia="仿宋_GB2312" w:hAnsi="宋体" w:cs="宋体" w:hint="eastAsia"/>
          <w:color w:val="333333"/>
          <w:kern w:val="0"/>
          <w:sz w:val="30"/>
          <w:szCs w:val="30"/>
          <w:vertAlign w:val="superscript"/>
        </w:rPr>
        <w:t>N-3</w:t>
      </w:r>
      <w:r w:rsidRPr="00D170E3">
        <w:rPr>
          <w:rFonts w:ascii="仿宋_GB2312" w:eastAsia="仿宋_GB2312" w:hAnsi="宋体" w:cs="宋体" w:hint="eastAsia"/>
          <w:color w:val="333333"/>
          <w:kern w:val="0"/>
          <w:sz w:val="30"/>
          <w:szCs w:val="30"/>
        </w:rPr>
        <w:t>×0.2。</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（其中N为作者总人数，i为作者排序，a为合作因子）。</w:t>
      </w:r>
    </w:p>
    <w:p w:rsidR="00C76853" w:rsidRPr="00C76853" w:rsidRDefault="00D170E3" w:rsidP="00C76853">
      <w:pPr>
        <w:widowControl/>
        <w:spacing w:before="100" w:beforeAutospacing="1" w:after="100" w:afterAutospacing="1" w:line="560" w:lineRule="exact"/>
        <w:ind w:firstLineChars="200" w:firstLine="600"/>
        <w:jc w:val="left"/>
        <w:rPr>
          <w:rFonts w:ascii="仿宋_GB2312" w:eastAsia="仿宋_GB2312" w:hAnsi="宋体" w:cs="宋体" w:hint="eastAsia"/>
          <w:color w:val="333333"/>
          <w:kern w:val="0"/>
          <w:sz w:val="30"/>
          <w:szCs w:val="30"/>
        </w:rPr>
      </w:pPr>
      <w:r w:rsidRPr="00D170E3">
        <w:rPr>
          <w:rFonts w:ascii="仿宋_GB2312" w:eastAsia="仿宋_GB2312" w:hAnsi="宋体" w:cs="宋体" w:hint="eastAsia"/>
          <w:color w:val="333333"/>
          <w:kern w:val="0"/>
          <w:sz w:val="30"/>
          <w:szCs w:val="30"/>
        </w:rPr>
        <w:lastRenderedPageBreak/>
        <w:t>九人以上合作的，前九人按总数九人套用上述公式；从第十作者开始，不予计算合作因子数值。</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（2）论著计分方法</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单部作品的本人完成量5万字以内不计分，5万字以上按下列分值计分：</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①专著： 每万字1分。</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②编著： 每万字0.8分。</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③译著： 每万字0.5分。</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字数计算以版权说明为准，未说明的可以平均计算。</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（3）发明专利，建筑作品，应用成果等计分方法</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①授权的发明专利每项40分，授权的实用新型专利每项20分；仅有公开号的发明专利不计分；国际专利按照两倍于国内专利计分。</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②建筑类公开发表作品，每项15分。建筑类公开发表作品包括：a、参加正省级以上由建筑行业协会或主管部门主办的建筑类设计竞赛的获奖作品；b、参与导师的工程项目设计并付诸实施，成果最终以图纸设计形式作为论文申报，图纸加盖出图章，参与设计的研究生经导师和学院签字确认后，成果可视为公开作品。</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lastRenderedPageBreak/>
        <w:t>③艺术作品在评奖委员会认定的国家级高水平艺术展览中展出的，每项15分。在核心刊物公开发表作品或在正省级以上正式参展的，每项7分。若同期刊物或同次展览有多个作品入选的，最高按单项的双倍计分。由省部级以上部门组织举办个人独唱、独奏作品音乐会（必须是在专业音乐厅个人演出45分钟以上），每项15分。</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④其它应用成果可参照计分，具体分数由研究生院提出意见。</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若成果是合作完成的，按论文分摊方式进行分摊。</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（4）其它成果计分方法</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 xml:space="preserve">参加国家级研究生学术类竞赛获得一、二、三等奖，分别为30分、20分、10分。省部级研究生学术类竞赛获得一、二、三等奖，分别为20分、10分、5分。非竞赛类奖励，国家级10分，省部级5分，市级2分。各类校内奖励均不计分。获团体奖励的，按论文分摊方式进行分摊，署名不分先后的可以均摊。 </w:t>
      </w:r>
    </w:p>
    <w:p w:rsidR="00D170E3" w:rsidRPr="00D170E3" w:rsidRDefault="00D170E3" w:rsidP="00D170E3">
      <w:pPr>
        <w:widowControl/>
        <w:spacing w:before="100" w:beforeAutospacing="1" w:after="100" w:afterAutospacing="1" w:line="560" w:lineRule="exact"/>
        <w:ind w:firstLineChars="200" w:firstLine="602"/>
        <w:jc w:val="left"/>
        <w:rPr>
          <w:rFonts w:ascii="宋体" w:eastAsia="宋体" w:hAnsi="宋体" w:cs="宋体"/>
          <w:color w:val="333333"/>
          <w:kern w:val="0"/>
          <w:sz w:val="24"/>
          <w:szCs w:val="24"/>
        </w:rPr>
      </w:pPr>
      <w:r w:rsidRPr="00D170E3">
        <w:rPr>
          <w:rFonts w:ascii="黑体" w:eastAsia="黑体" w:hAnsi="宋体" w:cs="宋体" w:hint="eastAsia"/>
          <w:b/>
          <w:color w:val="333333"/>
          <w:kern w:val="0"/>
          <w:sz w:val="30"/>
        </w:rPr>
        <w:t>五、评审程序</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1、由学校发布评奖通知，下达名额。</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2、研究生个人按规定时间向学院、研究院提交申请，逾期不申请者不参与评选。</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lastRenderedPageBreak/>
        <w:t>3、以学院为单位进行资格预审和原始材料审核，学院奖学金评奖委员会根据本单位的评审实施细则确定推荐名单，并面向本单位公示3个工作日无异议后将申报材料送至研究生院进行审查。学院对学生的申请材料负有审核责任。</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4、对评审结果有异议的学生，可在学院公示阶段向所在学院评审委员会提出申诉，评审委员会应及时研究并予以答复。如学生对学院作出的答复仍存在异议，可在学校公示阶段向校评奖委员会秘书组提出申诉。</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5、校奖学金评审委员会秘书组审核各学院各奖项的推荐名单的资格条件。</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6、学校奖学金评奖委员会评审确定获奖名单，公示3个工作日，无异议后报主管校领导批准并由学校发文表彰。</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7、发放奖学金和获奖证书。</w:t>
      </w:r>
    </w:p>
    <w:p w:rsidR="00D170E3" w:rsidRPr="00D170E3" w:rsidRDefault="00D170E3" w:rsidP="00D170E3">
      <w:pPr>
        <w:widowControl/>
        <w:spacing w:before="100" w:beforeAutospacing="1" w:after="100" w:afterAutospacing="1" w:line="560" w:lineRule="exact"/>
        <w:ind w:firstLineChars="200" w:firstLine="602"/>
        <w:jc w:val="left"/>
        <w:rPr>
          <w:rFonts w:ascii="宋体" w:eastAsia="宋体" w:hAnsi="宋体" w:cs="宋体"/>
          <w:color w:val="333333"/>
          <w:kern w:val="0"/>
          <w:sz w:val="24"/>
          <w:szCs w:val="24"/>
        </w:rPr>
      </w:pPr>
      <w:r w:rsidRPr="00D170E3">
        <w:rPr>
          <w:rFonts w:ascii="黑体" w:eastAsia="黑体" w:hAnsi="宋体" w:cs="宋体" w:hint="eastAsia"/>
          <w:b/>
          <w:color w:val="333333"/>
          <w:kern w:val="0"/>
          <w:sz w:val="30"/>
        </w:rPr>
        <w:t>六、附则</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1、有下列行为之一者，取消其评审资格或获奖资格：</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（一）有学术不端行为者；</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（二）参评年度违反校纪校规并被学校处分者；</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（三）在评审过程中有弄虚作假行为者。</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lastRenderedPageBreak/>
        <w:t>2、所有科研成果如果是合作完成的，合作因子数值计算均参照科研论文合作因子数值计算方法。</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3、本奖学金的评奖期间为在厦门大学就读的硕士或博士期间。学制超过3年的各类研究生的评奖期间为最近3年。</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4、对于国外奖励，有关单位提出评分意见，最终计分由评奖委员会决定。</w:t>
      </w:r>
    </w:p>
    <w:p w:rsidR="00D170E3" w:rsidRPr="00D170E3" w:rsidRDefault="00D170E3" w:rsidP="00D170E3">
      <w:pPr>
        <w:widowControl/>
        <w:spacing w:before="100" w:beforeAutospacing="1" w:after="100" w:afterAutospacing="1" w:line="560" w:lineRule="exact"/>
        <w:ind w:firstLineChars="200" w:firstLine="600"/>
        <w:jc w:val="left"/>
        <w:rPr>
          <w:rFonts w:ascii="宋体" w:eastAsia="宋体" w:hAnsi="宋体" w:cs="宋体"/>
          <w:color w:val="333333"/>
          <w:kern w:val="0"/>
          <w:sz w:val="24"/>
          <w:szCs w:val="24"/>
        </w:rPr>
      </w:pPr>
      <w:r w:rsidRPr="00D170E3">
        <w:rPr>
          <w:rFonts w:ascii="仿宋_GB2312" w:eastAsia="仿宋_GB2312" w:hAnsi="宋体" w:cs="宋体" w:hint="eastAsia"/>
          <w:color w:val="333333"/>
          <w:kern w:val="0"/>
          <w:sz w:val="30"/>
          <w:szCs w:val="30"/>
        </w:rPr>
        <w:t>5、对于校级奖学金评审过程中存在严重问题的，研究生院将核实情况后上报至校评奖委员会，并由校评奖委员会作出处理决定。</w:t>
      </w:r>
    </w:p>
    <w:p w:rsidR="00D170E3" w:rsidRPr="00D170E3" w:rsidRDefault="00D170E3" w:rsidP="00D170E3">
      <w:pPr>
        <w:widowControl/>
        <w:adjustRightInd w:val="0"/>
        <w:spacing w:before="100" w:beforeAutospacing="1" w:after="100" w:afterAutospacing="1" w:line="540" w:lineRule="exact"/>
        <w:ind w:firstLineChars="200" w:firstLine="600"/>
        <w:jc w:val="left"/>
        <w:rPr>
          <w:rFonts w:ascii="宋体" w:eastAsia="宋体" w:hAnsi="宋体" w:cs="宋体"/>
          <w:color w:val="333333"/>
          <w:kern w:val="0"/>
          <w:sz w:val="24"/>
          <w:szCs w:val="24"/>
        </w:rPr>
      </w:pPr>
      <w:r w:rsidRPr="00D170E3">
        <w:rPr>
          <w:rFonts w:ascii="黑体" w:eastAsia="黑体" w:hAnsi="宋体" w:cs="宋体" w:hint="eastAsia"/>
          <w:color w:val="333333"/>
          <w:kern w:val="0"/>
          <w:sz w:val="30"/>
          <w:szCs w:val="30"/>
        </w:rPr>
        <w:t>七、本办法自公布之日起施行，原有评奖办法同时废止。</w:t>
      </w:r>
    </w:p>
    <w:p w:rsidR="00D170E3" w:rsidRPr="00D170E3" w:rsidRDefault="00D170E3" w:rsidP="00D170E3">
      <w:pPr>
        <w:widowControl/>
        <w:adjustRightInd w:val="0"/>
        <w:spacing w:before="100" w:beforeAutospacing="1" w:after="100" w:afterAutospacing="1" w:line="540" w:lineRule="exact"/>
        <w:ind w:firstLineChars="200" w:firstLine="600"/>
        <w:jc w:val="left"/>
        <w:rPr>
          <w:rFonts w:ascii="宋体" w:eastAsia="宋体" w:hAnsi="宋体" w:cs="宋体"/>
          <w:color w:val="333333"/>
          <w:kern w:val="0"/>
          <w:sz w:val="24"/>
          <w:szCs w:val="24"/>
        </w:rPr>
      </w:pPr>
      <w:r w:rsidRPr="00D170E3">
        <w:rPr>
          <w:rFonts w:ascii="黑体" w:eastAsia="黑体" w:hAnsi="宋体" w:cs="宋体" w:hint="eastAsia"/>
          <w:color w:val="333333"/>
          <w:kern w:val="0"/>
          <w:sz w:val="30"/>
          <w:szCs w:val="30"/>
        </w:rPr>
        <w:t>八、本办法由材料学院奖学金评定委员会负责解释。</w:t>
      </w:r>
    </w:p>
    <w:p w:rsidR="00D170E3" w:rsidRPr="00D170E3" w:rsidRDefault="00D170E3" w:rsidP="00D170E3">
      <w:pPr>
        <w:widowControl/>
        <w:adjustRightInd w:val="0"/>
        <w:spacing w:before="100" w:beforeAutospacing="1" w:after="100" w:afterAutospacing="1" w:line="540" w:lineRule="exact"/>
        <w:ind w:firstLineChars="200" w:firstLine="600"/>
        <w:jc w:val="right"/>
        <w:rPr>
          <w:rFonts w:ascii="宋体" w:eastAsia="宋体" w:hAnsi="宋体" w:cs="宋体"/>
          <w:color w:val="333333"/>
          <w:kern w:val="0"/>
          <w:sz w:val="24"/>
          <w:szCs w:val="24"/>
        </w:rPr>
      </w:pPr>
      <w:r w:rsidRPr="00D170E3">
        <w:rPr>
          <w:rFonts w:ascii="黑体" w:eastAsia="黑体" w:hAnsi="宋体" w:cs="宋体" w:hint="eastAsia"/>
          <w:color w:val="333333"/>
          <w:kern w:val="0"/>
          <w:sz w:val="30"/>
          <w:szCs w:val="30"/>
        </w:rPr>
        <w:t>2013年7月</w:t>
      </w:r>
    </w:p>
    <w:p w:rsidR="005C6354" w:rsidRDefault="005C6354"/>
    <w:sectPr w:rsidR="005C6354" w:rsidSect="005C63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512" w:rsidRDefault="00356512" w:rsidP="00D170E3">
      <w:pPr>
        <w:pStyle w:val="a8"/>
        <w:spacing w:before="0" w:after="0"/>
      </w:pPr>
      <w:r>
        <w:separator/>
      </w:r>
    </w:p>
  </w:endnote>
  <w:endnote w:type="continuationSeparator" w:id="0">
    <w:p w:rsidR="00356512" w:rsidRDefault="00356512" w:rsidP="00D170E3">
      <w:pPr>
        <w:pStyle w:val="a8"/>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512" w:rsidRDefault="00356512" w:rsidP="00D170E3">
      <w:pPr>
        <w:pStyle w:val="a8"/>
        <w:spacing w:before="0" w:after="0"/>
      </w:pPr>
      <w:r>
        <w:separator/>
      </w:r>
    </w:p>
  </w:footnote>
  <w:footnote w:type="continuationSeparator" w:id="0">
    <w:p w:rsidR="00356512" w:rsidRDefault="00356512" w:rsidP="00D170E3">
      <w:pPr>
        <w:pStyle w:val="a8"/>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E3"/>
    <w:rsid w:val="00356512"/>
    <w:rsid w:val="005C6354"/>
    <w:rsid w:val="008D2601"/>
    <w:rsid w:val="00B30C39"/>
    <w:rsid w:val="00C76853"/>
    <w:rsid w:val="00D1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06170"/>
  <w15:docId w15:val="{B2AE1A06-56E1-4CB9-9DE1-FDF62409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0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70E3"/>
    <w:rPr>
      <w:sz w:val="18"/>
      <w:szCs w:val="18"/>
    </w:rPr>
  </w:style>
  <w:style w:type="paragraph" w:styleId="a5">
    <w:name w:val="footer"/>
    <w:basedOn w:val="a"/>
    <w:link w:val="a6"/>
    <w:uiPriority w:val="99"/>
    <w:unhideWhenUsed/>
    <w:rsid w:val="00D170E3"/>
    <w:pPr>
      <w:tabs>
        <w:tab w:val="center" w:pos="4153"/>
        <w:tab w:val="right" w:pos="8306"/>
      </w:tabs>
      <w:snapToGrid w:val="0"/>
      <w:jc w:val="left"/>
    </w:pPr>
    <w:rPr>
      <w:sz w:val="18"/>
      <w:szCs w:val="18"/>
    </w:rPr>
  </w:style>
  <w:style w:type="character" w:customStyle="1" w:styleId="a6">
    <w:name w:val="页脚 字符"/>
    <w:basedOn w:val="a0"/>
    <w:link w:val="a5"/>
    <w:uiPriority w:val="99"/>
    <w:rsid w:val="00D170E3"/>
    <w:rPr>
      <w:sz w:val="18"/>
      <w:szCs w:val="18"/>
    </w:rPr>
  </w:style>
  <w:style w:type="character" w:styleId="a7">
    <w:name w:val="Strong"/>
    <w:basedOn w:val="a0"/>
    <w:uiPriority w:val="22"/>
    <w:qFormat/>
    <w:rsid w:val="00D170E3"/>
    <w:rPr>
      <w:b/>
      <w:bCs/>
    </w:rPr>
  </w:style>
  <w:style w:type="paragraph" w:styleId="a8">
    <w:name w:val="List Paragraph"/>
    <w:basedOn w:val="a"/>
    <w:uiPriority w:val="34"/>
    <w:qFormat/>
    <w:rsid w:val="00D170E3"/>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C76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739404">
      <w:bodyDiv w:val="1"/>
      <w:marLeft w:val="0"/>
      <w:marRight w:val="0"/>
      <w:marTop w:val="0"/>
      <w:marBottom w:val="0"/>
      <w:divBdr>
        <w:top w:val="none" w:sz="0" w:space="0" w:color="auto"/>
        <w:left w:val="none" w:sz="0" w:space="0" w:color="auto"/>
        <w:bottom w:val="none" w:sz="0" w:space="0" w:color="auto"/>
        <w:right w:val="none" w:sz="0" w:space="0" w:color="auto"/>
      </w:divBdr>
      <w:divsChild>
        <w:div w:id="1759254075">
          <w:marLeft w:val="0"/>
          <w:marRight w:val="0"/>
          <w:marTop w:val="0"/>
          <w:marBottom w:val="0"/>
          <w:divBdr>
            <w:top w:val="none" w:sz="0" w:space="0" w:color="auto"/>
            <w:left w:val="none" w:sz="0" w:space="0" w:color="auto"/>
            <w:bottom w:val="none" w:sz="0" w:space="0" w:color="auto"/>
            <w:right w:val="none" w:sz="0" w:space="0" w:color="auto"/>
          </w:divBdr>
          <w:divsChild>
            <w:div w:id="1948539106">
              <w:marLeft w:val="0"/>
              <w:marRight w:val="0"/>
              <w:marTop w:val="0"/>
              <w:marBottom w:val="0"/>
              <w:divBdr>
                <w:top w:val="none" w:sz="0" w:space="0" w:color="auto"/>
                <w:left w:val="none" w:sz="0" w:space="0" w:color="auto"/>
                <w:bottom w:val="none" w:sz="0" w:space="0" w:color="auto"/>
                <w:right w:val="none" w:sz="0" w:space="0" w:color="auto"/>
              </w:divBdr>
              <w:divsChild>
                <w:div w:id="1378167664">
                  <w:marLeft w:val="0"/>
                  <w:marRight w:val="0"/>
                  <w:marTop w:val="0"/>
                  <w:marBottom w:val="0"/>
                  <w:divBdr>
                    <w:top w:val="none" w:sz="0" w:space="0" w:color="auto"/>
                    <w:left w:val="none" w:sz="0" w:space="0" w:color="auto"/>
                    <w:bottom w:val="none" w:sz="0" w:space="0" w:color="auto"/>
                    <w:right w:val="none" w:sz="0" w:space="0" w:color="auto"/>
                  </w:divBdr>
                  <w:divsChild>
                    <w:div w:id="1172840956">
                      <w:marLeft w:val="0"/>
                      <w:marRight w:val="0"/>
                      <w:marTop w:val="0"/>
                      <w:marBottom w:val="0"/>
                      <w:divBdr>
                        <w:top w:val="none" w:sz="0" w:space="0" w:color="auto"/>
                        <w:left w:val="none" w:sz="0" w:space="0" w:color="auto"/>
                        <w:bottom w:val="none" w:sz="0" w:space="0" w:color="auto"/>
                        <w:right w:val="none" w:sz="0" w:space="0" w:color="auto"/>
                      </w:divBdr>
                      <w:divsChild>
                        <w:div w:id="2122144042">
                          <w:marLeft w:val="0"/>
                          <w:marRight w:val="0"/>
                          <w:marTop w:val="0"/>
                          <w:marBottom w:val="0"/>
                          <w:divBdr>
                            <w:top w:val="single" w:sz="6" w:space="0" w:color="D4D4D4"/>
                            <w:left w:val="single" w:sz="6" w:space="0" w:color="D4D4D4"/>
                            <w:bottom w:val="single" w:sz="6" w:space="0" w:color="D4D4D4"/>
                            <w:right w:val="single" w:sz="6" w:space="0" w:color="D4D4D4"/>
                          </w:divBdr>
                          <w:divsChild>
                            <w:div w:id="19344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567</Words>
  <Characters>3232</Characters>
  <Application>Microsoft Office Word</Application>
  <DocSecurity>0</DocSecurity>
  <Lines>26</Lines>
  <Paragraphs>7</Paragraphs>
  <ScaleCrop>false</ScaleCrop>
  <Company>China</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Charli Chen</cp:lastModifiedBy>
  <cp:revision>3</cp:revision>
  <dcterms:created xsi:type="dcterms:W3CDTF">2018-03-08T11:02:00Z</dcterms:created>
  <dcterms:modified xsi:type="dcterms:W3CDTF">2018-03-08T11:13:00Z</dcterms:modified>
</cp:coreProperties>
</file>